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6" w:rsidRDefault="001317B6" w:rsidP="001317B6">
      <w:pPr>
        <w:ind w:left="1814" w:right="1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 xml:space="preserve">Prüfungsvorbereitung </w:t>
      </w:r>
      <w:r w:rsidR="004A045C">
        <w:rPr>
          <w:rFonts w:ascii="Arial Black" w:hAnsi="Arial Black"/>
          <w:bCs/>
          <w:sz w:val="40"/>
          <w:szCs w:val="40"/>
        </w:rPr>
        <w:t>Teil 1</w:t>
      </w:r>
    </w:p>
    <w:p w:rsidR="001317B6" w:rsidRDefault="001317B6" w:rsidP="001317B6">
      <w:pPr>
        <w:ind w:left="1814" w:right="1"/>
        <w:rPr>
          <w:sz w:val="32"/>
          <w:szCs w:val="32"/>
        </w:rPr>
      </w:pPr>
      <w:r>
        <w:rPr>
          <w:sz w:val="32"/>
          <w:szCs w:val="32"/>
        </w:rPr>
        <w:t>Metallbauer</w:t>
      </w:r>
      <w:r w:rsidR="004A045C">
        <w:rPr>
          <w:sz w:val="32"/>
          <w:szCs w:val="32"/>
        </w:rPr>
        <w:t>/innen und Konstruktionsmechaniker/innen</w:t>
      </w:r>
    </w:p>
    <w:p w:rsidR="001317B6" w:rsidRPr="00027E2F" w:rsidRDefault="001317B6" w:rsidP="001317B6">
      <w:pPr>
        <w:ind w:left="1814" w:right="1"/>
        <w:rPr>
          <w:sz w:val="10"/>
          <w:szCs w:val="10"/>
        </w:rPr>
      </w:pPr>
    </w:p>
    <w:tbl>
      <w:tblPr>
        <w:tblW w:w="0" w:type="auto"/>
        <w:tblInd w:w="-851" w:type="dxa"/>
        <w:tblCellMar>
          <w:top w:w="113" w:type="dxa"/>
          <w:bottom w:w="113" w:type="dxa"/>
        </w:tblCellMar>
        <w:tblLook w:val="04A0"/>
      </w:tblPr>
      <w:tblGrid>
        <w:gridCol w:w="2377"/>
        <w:gridCol w:w="283"/>
        <w:gridCol w:w="8038"/>
      </w:tblGrid>
      <w:tr w:rsidR="001317B6" w:rsidTr="007414DD">
        <w:trPr>
          <w:trHeight w:val="850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Inhalte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4A045C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 xml:space="preserve">Die Auszubildenden werden durch die BTZ Ausbilder optimal auf die schriftliche und praktische Zwischenprüfung </w:t>
            </w:r>
            <w:r w:rsidR="004A045C">
              <w:rPr>
                <w:sz w:val="20"/>
                <w:szCs w:val="20"/>
              </w:rPr>
              <w:t>im</w:t>
            </w:r>
            <w:r w:rsidRPr="00F37B8C">
              <w:rPr>
                <w:sz w:val="20"/>
                <w:szCs w:val="20"/>
              </w:rPr>
              <w:t xml:space="preserve"> Metallbau</w:t>
            </w:r>
            <w:r w:rsidR="004A045C">
              <w:rPr>
                <w:sz w:val="20"/>
                <w:szCs w:val="20"/>
              </w:rPr>
              <w:t xml:space="preserve"> bzw. in der Konstruktionsmechanik</w:t>
            </w:r>
            <w:r w:rsidRPr="00F37B8C">
              <w:rPr>
                <w:sz w:val="20"/>
                <w:szCs w:val="20"/>
              </w:rPr>
              <w:t xml:space="preserve"> vorbere</w:t>
            </w:r>
            <w:r w:rsidRPr="00F37B8C">
              <w:rPr>
                <w:sz w:val="20"/>
                <w:szCs w:val="20"/>
              </w:rPr>
              <w:t>i</w:t>
            </w:r>
            <w:r w:rsidRPr="00F37B8C">
              <w:rPr>
                <w:sz w:val="20"/>
                <w:szCs w:val="20"/>
              </w:rPr>
              <w:t>tet. Dank dieser intensiven Vorbereitung haben die Auszubildenden eine höhere Cha</w:t>
            </w:r>
            <w:r w:rsidRPr="00F37B8C">
              <w:rPr>
                <w:sz w:val="20"/>
                <w:szCs w:val="20"/>
              </w:rPr>
              <w:t>n</w:t>
            </w:r>
            <w:r w:rsidRPr="00F37B8C">
              <w:rPr>
                <w:sz w:val="20"/>
                <w:szCs w:val="20"/>
              </w:rPr>
              <w:t>ce, die Prüfung erfolgreich zu bestehen. Zu 30% geht das Ergebnis der Zwischenpr</w:t>
            </w:r>
            <w:r w:rsidRPr="00F37B8C">
              <w:rPr>
                <w:sz w:val="20"/>
                <w:szCs w:val="20"/>
              </w:rPr>
              <w:t>ü</w:t>
            </w:r>
            <w:r w:rsidRPr="00F37B8C">
              <w:rPr>
                <w:sz w:val="20"/>
                <w:szCs w:val="20"/>
              </w:rPr>
              <w:t>fung in das Endergebnis der Abschlussprüfung mit ein. Unterstützen Sie also schon heute Ihre Auszubildenden bei der Prüfung und erhöhen Sie so die Qualität der Ausbi</w:t>
            </w:r>
            <w:r w:rsidRPr="00F37B8C">
              <w:rPr>
                <w:sz w:val="20"/>
                <w:szCs w:val="20"/>
              </w:rPr>
              <w:t>l</w:t>
            </w:r>
            <w:r w:rsidRPr="00F37B8C">
              <w:rPr>
                <w:sz w:val="20"/>
                <w:szCs w:val="20"/>
              </w:rPr>
              <w:t>dung.</w:t>
            </w:r>
          </w:p>
        </w:tc>
      </w:tr>
      <w:tr w:rsidR="001317B6" w:rsidTr="007414DD">
        <w:trPr>
          <w:trHeight w:val="1474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Zeichnungen lesen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Funktionsanalyse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Fachmathematik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Technologie/ Fachtheorie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Wirtschafts- und Sozialkunde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Anreißen, Feilen, Sägen, Bohren, Gewinde bohren, Reiben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Schweißen</w:t>
            </w:r>
          </w:p>
          <w:p w:rsidR="001317B6" w:rsidRPr="00F37B8C" w:rsidRDefault="001317B6" w:rsidP="009B096E">
            <w:pPr>
              <w:pStyle w:val="NurText"/>
              <w:numPr>
                <w:ilvl w:val="0"/>
                <w:numId w:val="3"/>
              </w:numPr>
              <w:ind w:left="308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37B8C">
              <w:rPr>
                <w:rFonts w:ascii="Arial" w:eastAsia="Calibri" w:hAnsi="Arial" w:cs="Arial"/>
                <w:sz w:val="20"/>
                <w:szCs w:val="20"/>
              </w:rPr>
              <w:t>Thermisches Trenn</w:t>
            </w:r>
            <w:r w:rsidR="00882DCF">
              <w:rPr>
                <w:rFonts w:ascii="Arial" w:eastAsia="Calibri" w:hAnsi="Arial" w:cs="Arial"/>
                <w:sz w:val="20"/>
                <w:szCs w:val="20"/>
              </w:rPr>
              <w:t>en</w:t>
            </w:r>
          </w:p>
        </w:tc>
      </w:tr>
      <w:tr w:rsidR="001317B6" w:rsidTr="007414DD">
        <w:trPr>
          <w:trHeight w:val="227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 xml:space="preserve">BTZ des Handwerks, </w:t>
            </w:r>
            <w:proofErr w:type="spellStart"/>
            <w:r w:rsidRPr="00F37B8C">
              <w:rPr>
                <w:sz w:val="20"/>
                <w:szCs w:val="20"/>
              </w:rPr>
              <w:t>Coesfelder</w:t>
            </w:r>
            <w:proofErr w:type="spellEnd"/>
            <w:r w:rsidRPr="00F37B8C">
              <w:rPr>
                <w:sz w:val="20"/>
                <w:szCs w:val="20"/>
              </w:rPr>
              <w:t xml:space="preserve"> Hof 3, 48527 Nordhorn</w:t>
            </w:r>
          </w:p>
        </w:tc>
      </w:tr>
      <w:tr w:rsidR="001317B6" w:rsidTr="007414DD"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b/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Dozent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>Jürgen Klinge, Hermann van Bassen u.a.</w:t>
            </w:r>
          </w:p>
        </w:tc>
      </w:tr>
      <w:tr w:rsidR="001317B6" w:rsidTr="007414DD">
        <w:trPr>
          <w:trHeight w:val="397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b/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Dauer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1317B6">
            <w:pPr>
              <w:pStyle w:val="Listenabsatz"/>
              <w:numPr>
                <w:ilvl w:val="0"/>
                <w:numId w:val="4"/>
              </w:numPr>
              <w:ind w:left="308" w:right="1" w:hanging="283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>16 Zeitstunden für die schriftliche Prüfungsvorbereitung</w:t>
            </w:r>
          </w:p>
          <w:p w:rsidR="001317B6" w:rsidRPr="00F37B8C" w:rsidRDefault="001317B6" w:rsidP="001317B6">
            <w:pPr>
              <w:pStyle w:val="Listenabsatz"/>
              <w:numPr>
                <w:ilvl w:val="0"/>
                <w:numId w:val="4"/>
              </w:numPr>
              <w:ind w:left="308" w:right="1" w:hanging="283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>24 Zeitstunden für die praktische Prüfungsvorbereitung</w:t>
            </w:r>
          </w:p>
        </w:tc>
      </w:tr>
      <w:tr w:rsidR="001317B6" w:rsidTr="007414DD">
        <w:trPr>
          <w:trHeight w:val="227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Termine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 xml:space="preserve">13.06. – 17.06.2016 </w:t>
            </w:r>
          </w:p>
        </w:tc>
      </w:tr>
      <w:tr w:rsidR="001317B6" w:rsidTr="007414DD">
        <w:trPr>
          <w:trHeight w:val="227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Kosten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882DCF" w:rsidRDefault="00882DCF" w:rsidP="00882DCF">
            <w:pPr>
              <w:tabs>
                <w:tab w:val="right" w:pos="7679"/>
              </w:tabs>
              <w:ind w:left="25" w:right="1"/>
              <w:rPr>
                <w:sz w:val="20"/>
                <w:szCs w:val="20"/>
              </w:rPr>
            </w:pPr>
            <w:r w:rsidRPr="00882DCF">
              <w:rPr>
                <w:sz w:val="20"/>
                <w:szCs w:val="20"/>
              </w:rPr>
              <w:t>340,00 €</w:t>
            </w:r>
          </w:p>
        </w:tc>
      </w:tr>
      <w:tr w:rsidR="001317B6" w:rsidTr="007414DD">
        <w:trPr>
          <w:trHeight w:val="624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b/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Organisatorisches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>Für die schriftliche Vorbereitung werden Taschenrechner, Tabellenbuch und Schrei</w:t>
            </w:r>
            <w:r w:rsidRPr="00F37B8C">
              <w:rPr>
                <w:sz w:val="20"/>
                <w:szCs w:val="20"/>
              </w:rPr>
              <w:t>b</w:t>
            </w:r>
            <w:r w:rsidRPr="00F37B8C">
              <w:rPr>
                <w:sz w:val="20"/>
                <w:szCs w:val="20"/>
              </w:rPr>
              <w:t>zeug benötigt. Für die praktische Vorbereitung ist außerdem Arbeitskleidung einschlie</w:t>
            </w:r>
            <w:r w:rsidRPr="00F37B8C">
              <w:rPr>
                <w:sz w:val="20"/>
                <w:szCs w:val="20"/>
              </w:rPr>
              <w:t>ß</w:t>
            </w:r>
            <w:r w:rsidRPr="00F37B8C">
              <w:rPr>
                <w:sz w:val="20"/>
                <w:szCs w:val="20"/>
              </w:rPr>
              <w:t>lich Sicherheitsschuhe mitzubringen.</w:t>
            </w:r>
          </w:p>
        </w:tc>
      </w:tr>
      <w:tr w:rsidR="001317B6" w:rsidTr="007414DD">
        <w:trPr>
          <w:trHeight w:val="397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Anmeldeschluss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>Bitte senden Sie uns das Anmeldeformular bis zwei Wochen vor Lehrgangsbeginn per Fax oder Email zu.</w:t>
            </w:r>
          </w:p>
        </w:tc>
      </w:tr>
      <w:tr w:rsidR="001317B6" w:rsidRPr="00880CA5" w:rsidTr="007414DD">
        <w:trPr>
          <w:trHeight w:val="340"/>
        </w:trPr>
        <w:tc>
          <w:tcPr>
            <w:tcW w:w="2377" w:type="dxa"/>
          </w:tcPr>
          <w:p w:rsidR="001317B6" w:rsidRPr="00F37B8C" w:rsidRDefault="001317B6" w:rsidP="009B096E">
            <w:pPr>
              <w:ind w:right="1"/>
              <w:jc w:val="right"/>
              <w:rPr>
                <w:b/>
                <w:sz w:val="20"/>
                <w:szCs w:val="20"/>
              </w:rPr>
            </w:pPr>
            <w:r w:rsidRPr="00F37B8C">
              <w:rPr>
                <w:b/>
                <w:sz w:val="20"/>
                <w:szCs w:val="20"/>
              </w:rPr>
              <w:t>Anmeldung</w:t>
            </w:r>
          </w:p>
        </w:tc>
        <w:tc>
          <w:tcPr>
            <w:tcW w:w="283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8038" w:type="dxa"/>
          </w:tcPr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>Bitte nu</w:t>
            </w:r>
            <w:r w:rsidR="00700E55">
              <w:rPr>
                <w:sz w:val="20"/>
                <w:szCs w:val="20"/>
              </w:rPr>
              <w:t xml:space="preserve">tzen Sie unser </w:t>
            </w:r>
            <w:hyperlink r:id="rId8" w:history="1">
              <w:r w:rsidR="00700E55" w:rsidRPr="00642612">
                <w:rPr>
                  <w:rStyle w:val="Hyperlink"/>
                  <w:sz w:val="20"/>
                  <w:szCs w:val="20"/>
                </w:rPr>
                <w:t>Anmeldeformular</w:t>
              </w:r>
            </w:hyperlink>
            <w:r w:rsidR="00700E55">
              <w:rPr>
                <w:sz w:val="20"/>
                <w:szCs w:val="20"/>
              </w:rPr>
              <w:t>!</w:t>
            </w:r>
          </w:p>
          <w:p w:rsidR="001317B6" w:rsidRPr="00F37B8C" w:rsidRDefault="001317B6" w:rsidP="009B096E">
            <w:pPr>
              <w:ind w:right="1"/>
              <w:rPr>
                <w:sz w:val="20"/>
                <w:szCs w:val="20"/>
              </w:rPr>
            </w:pPr>
            <w:r w:rsidRPr="00F37B8C">
              <w:rPr>
                <w:sz w:val="20"/>
                <w:szCs w:val="20"/>
              </w:rPr>
              <w:t xml:space="preserve">Für diesen Lehrgang gelten unsere “Allgemeinen Teilnahmebedingungen” (ATB), die Sie </w:t>
            </w:r>
            <w:hyperlink r:id="rId9" w:history="1">
              <w:r w:rsidRPr="00642612">
                <w:rPr>
                  <w:rStyle w:val="Hyperlink"/>
                  <w:sz w:val="20"/>
                  <w:szCs w:val="20"/>
                </w:rPr>
                <w:t>hier</w:t>
              </w:r>
            </w:hyperlink>
            <w:r w:rsidRPr="00F37B8C">
              <w:rPr>
                <w:sz w:val="20"/>
                <w:szCs w:val="20"/>
              </w:rPr>
              <w:t xml:space="preserve"> herunterladen können.</w:t>
            </w:r>
          </w:p>
        </w:tc>
      </w:tr>
    </w:tbl>
    <w:p w:rsidR="004336E1" w:rsidRPr="00F37B8C" w:rsidRDefault="004336E1" w:rsidP="001317B6">
      <w:pPr>
        <w:rPr>
          <w:sz w:val="4"/>
          <w:szCs w:val="4"/>
        </w:rPr>
      </w:pPr>
    </w:p>
    <w:sectPr w:rsidR="004336E1" w:rsidRPr="00F37B8C" w:rsidSect="00C40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5" w:right="707" w:bottom="3686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B6" w:rsidRDefault="001317B6" w:rsidP="00F6550E">
      <w:r>
        <w:separator/>
      </w:r>
    </w:p>
  </w:endnote>
  <w:endnote w:type="continuationSeparator" w:id="0">
    <w:p w:rsidR="001317B6" w:rsidRDefault="001317B6" w:rsidP="00F6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1" w:rsidRDefault="00C018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1A" w:rsidRDefault="0022580B" w:rsidP="00AD381A">
    <w:pPr>
      <w:pStyle w:val="Fuzeile"/>
      <w:ind w:left="-1417" w:right="-707"/>
    </w:pPr>
    <w:r>
      <w:object w:dxaOrig="11101" w:dyaOrig="3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6pt;height:168.3pt" o:ole="">
          <v:imagedata r:id="rId1" o:title=""/>
        </v:shape>
        <o:OLEObject Type="Embed" ProgID="CorelDRAW.Graphic.12" ShapeID="_x0000_i1025" DrawAspect="Content" ObjectID="_1511097819" r:id="rId2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1" w:rsidRDefault="00C018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B6" w:rsidRDefault="001317B6" w:rsidP="00F6550E">
      <w:r>
        <w:separator/>
      </w:r>
    </w:p>
  </w:footnote>
  <w:footnote w:type="continuationSeparator" w:id="0">
    <w:p w:rsidR="001317B6" w:rsidRDefault="001317B6" w:rsidP="00F6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1" w:rsidRDefault="00C018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0E" w:rsidRDefault="00AF4CE3" w:rsidP="004B4550">
    <w:pPr>
      <w:pStyle w:val="Kopfzeile"/>
      <w:ind w:left="-1417" w:right="-707"/>
    </w:pPr>
    <w:r>
      <w:rPr>
        <w:noProof/>
        <w:lang w:eastAsia="de-DE"/>
      </w:rPr>
      <w:pict>
        <v:rect id="_x0000_s3073" style="position:absolute;left:0;text-align:left;margin-left:-68.7pt;margin-top:73.05pt;width:147.2pt;height:615.8pt;z-index:-251658752" fillcolor="#d9f1ff" strokecolor="#d9f1ff"/>
      </w:pict>
    </w:r>
    <w:r w:rsidR="0045038D">
      <w:rPr>
        <w:noProof/>
        <w:lang w:eastAsia="de-DE"/>
      </w:rPr>
      <w:drawing>
        <wp:inline distT="0" distB="0" distL="0" distR="0">
          <wp:extent cx="7533005" cy="105600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5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550" w:rsidRDefault="004B4550" w:rsidP="004B4550">
    <w:pPr>
      <w:pStyle w:val="Kopfzeile"/>
      <w:ind w:left="-1417" w:right="-70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1" w:rsidRDefault="00C018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4D6"/>
    <w:multiLevelType w:val="hybridMultilevel"/>
    <w:tmpl w:val="2C344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7BB7"/>
    <w:multiLevelType w:val="hybridMultilevel"/>
    <w:tmpl w:val="5A9EC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A0F"/>
    <w:multiLevelType w:val="hybridMultilevel"/>
    <w:tmpl w:val="7BCE13BA"/>
    <w:lvl w:ilvl="0" w:tplc="953A69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1243"/>
    <w:multiLevelType w:val="hybridMultilevel"/>
    <w:tmpl w:val="93F82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36BA"/>
    <w:multiLevelType w:val="hybridMultilevel"/>
    <w:tmpl w:val="EEAE4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57DB"/>
    <w:multiLevelType w:val="hybridMultilevel"/>
    <w:tmpl w:val="46F0D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5">
      <o:colormru v:ext="edit" colors="#d9f1ff,#e4ebf4"/>
      <o:colormenu v:ext="edit" fillcolor="#d9f1ff" strokecolor="#d9f1ff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37B8C"/>
    <w:rsid w:val="0003295F"/>
    <w:rsid w:val="0007613B"/>
    <w:rsid w:val="000C0AB2"/>
    <w:rsid w:val="001317B6"/>
    <w:rsid w:val="00150B57"/>
    <w:rsid w:val="00163A6A"/>
    <w:rsid w:val="00186C61"/>
    <w:rsid w:val="00193B40"/>
    <w:rsid w:val="0022580B"/>
    <w:rsid w:val="0024231D"/>
    <w:rsid w:val="002C7371"/>
    <w:rsid w:val="002E45EC"/>
    <w:rsid w:val="0032472C"/>
    <w:rsid w:val="00340E3D"/>
    <w:rsid w:val="00370053"/>
    <w:rsid w:val="003F622F"/>
    <w:rsid w:val="00402E80"/>
    <w:rsid w:val="00414343"/>
    <w:rsid w:val="004336E1"/>
    <w:rsid w:val="0045038D"/>
    <w:rsid w:val="00470927"/>
    <w:rsid w:val="0049712E"/>
    <w:rsid w:val="004A045C"/>
    <w:rsid w:val="004B4550"/>
    <w:rsid w:val="004D3A13"/>
    <w:rsid w:val="00511688"/>
    <w:rsid w:val="00571C5F"/>
    <w:rsid w:val="0059118E"/>
    <w:rsid w:val="005C3F96"/>
    <w:rsid w:val="005E7992"/>
    <w:rsid w:val="005F0F9B"/>
    <w:rsid w:val="00642612"/>
    <w:rsid w:val="00685169"/>
    <w:rsid w:val="006A43AE"/>
    <w:rsid w:val="006B2EFD"/>
    <w:rsid w:val="006D66AC"/>
    <w:rsid w:val="006E3035"/>
    <w:rsid w:val="006E5612"/>
    <w:rsid w:val="006F49E4"/>
    <w:rsid w:val="00700E55"/>
    <w:rsid w:val="0070355B"/>
    <w:rsid w:val="00720661"/>
    <w:rsid w:val="00731159"/>
    <w:rsid w:val="007414DD"/>
    <w:rsid w:val="0074327A"/>
    <w:rsid w:val="00750732"/>
    <w:rsid w:val="008171F8"/>
    <w:rsid w:val="00841208"/>
    <w:rsid w:val="00855A51"/>
    <w:rsid w:val="008603E0"/>
    <w:rsid w:val="00863C78"/>
    <w:rsid w:val="00880CA5"/>
    <w:rsid w:val="00882DCF"/>
    <w:rsid w:val="008C5E7D"/>
    <w:rsid w:val="008D4690"/>
    <w:rsid w:val="009117EB"/>
    <w:rsid w:val="009133B2"/>
    <w:rsid w:val="009333A8"/>
    <w:rsid w:val="009467A3"/>
    <w:rsid w:val="009757FD"/>
    <w:rsid w:val="00990861"/>
    <w:rsid w:val="009A6CD6"/>
    <w:rsid w:val="00AB1F69"/>
    <w:rsid w:val="00AC6014"/>
    <w:rsid w:val="00AC6C9D"/>
    <w:rsid w:val="00AD381A"/>
    <w:rsid w:val="00AE70EC"/>
    <w:rsid w:val="00AF32E4"/>
    <w:rsid w:val="00AF4CE3"/>
    <w:rsid w:val="00B12E2A"/>
    <w:rsid w:val="00B66683"/>
    <w:rsid w:val="00C001D0"/>
    <w:rsid w:val="00C01541"/>
    <w:rsid w:val="00C01861"/>
    <w:rsid w:val="00C12642"/>
    <w:rsid w:val="00C400D7"/>
    <w:rsid w:val="00C52DB1"/>
    <w:rsid w:val="00C561ED"/>
    <w:rsid w:val="00C75D4B"/>
    <w:rsid w:val="00D10BDA"/>
    <w:rsid w:val="00D6104B"/>
    <w:rsid w:val="00DD1719"/>
    <w:rsid w:val="00EA4FAA"/>
    <w:rsid w:val="00EC64A4"/>
    <w:rsid w:val="00F079C1"/>
    <w:rsid w:val="00F37B8C"/>
    <w:rsid w:val="00F6550E"/>
    <w:rsid w:val="00F67B07"/>
    <w:rsid w:val="00F7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ru v:ext="edit" colors="#d9f1ff,#e4ebf4"/>
      <o:colormenu v:ext="edit" fillcolor="#d9f1ff" strokecolor="#d9f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7B6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D6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65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550E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65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550E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014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1317B6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317B6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317B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31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z-handwerk.de/pdf/anmeldung_pv_mb_teil1_theo_prx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irchhelle\Kirchhelle-Stockfleth\Organisationsmanagement%20Judith\Vorlagen\Handzettelvorlage%20KirchhelleL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3B97-B5B0-4E9F-9B3D-C1832FD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Handzettelvorlage KirchhelleLIN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Kirchhelle</dc:creator>
  <cp:lastModifiedBy>Hugo Kirchhelle</cp:lastModifiedBy>
  <cp:revision>7</cp:revision>
  <cp:lastPrinted>2015-12-07T10:13:00Z</cp:lastPrinted>
  <dcterms:created xsi:type="dcterms:W3CDTF">2015-11-10T14:32:00Z</dcterms:created>
  <dcterms:modified xsi:type="dcterms:W3CDTF">2015-12-08T15:35:00Z</dcterms:modified>
</cp:coreProperties>
</file>